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FE49" w14:textId="77777777" w:rsidR="0076249B" w:rsidRDefault="0076249B" w:rsidP="005C6F43">
      <w:pPr>
        <w:autoSpaceDE w:val="0"/>
        <w:autoSpaceDN w:val="0"/>
        <w:adjustRightInd w:val="0"/>
        <w:jc w:val="both"/>
        <w:rPr>
          <w:rFonts w:ascii="Times-Bold" w:hAnsi="Times-Bold" w:cs="Times-Bold"/>
          <w:b/>
          <w:bCs/>
          <w:color w:val="000000"/>
          <w:lang w:val="en-US"/>
        </w:rPr>
      </w:pPr>
    </w:p>
    <w:p w14:paraId="32A2CB86" w14:textId="0E85AC53" w:rsidR="00065E0A" w:rsidRDefault="00065E0A" w:rsidP="00065E0A">
      <w:pPr>
        <w:spacing w:after="160" w:line="259" w:lineRule="auto"/>
        <w:contextualSpacing/>
        <w:rPr>
          <w:rFonts w:ascii="Tahoma" w:eastAsiaTheme="minorHAnsi" w:hAnsi="Tahoma" w:cs="Tahoma"/>
          <w:sz w:val="22"/>
          <w:szCs w:val="22"/>
        </w:rPr>
      </w:pPr>
    </w:p>
    <w:p w14:paraId="540C3439" w14:textId="77777777" w:rsidR="00065E0A" w:rsidRPr="00BC4E40" w:rsidRDefault="00065E0A" w:rsidP="00065E0A">
      <w:pPr>
        <w:spacing w:after="160" w:line="259" w:lineRule="auto"/>
        <w:contextualSpacing/>
        <w:rPr>
          <w:rFonts w:ascii="Tahoma" w:eastAsiaTheme="minorHAnsi" w:hAnsi="Tahoma" w:cs="Tahoma"/>
          <w:b/>
          <w:bCs/>
          <w:sz w:val="22"/>
          <w:szCs w:val="22"/>
        </w:rPr>
      </w:pPr>
      <w:r w:rsidRPr="00BC4E40">
        <w:rPr>
          <w:rFonts w:ascii="Tahoma" w:eastAsiaTheme="minorHAnsi" w:hAnsi="Tahoma" w:cs="Tahoma"/>
          <w:b/>
          <w:bCs/>
          <w:sz w:val="22"/>
          <w:szCs w:val="22"/>
        </w:rPr>
        <w:t>WHAT IS A VULNERABLE CUSTOMER?</w:t>
      </w:r>
    </w:p>
    <w:p w14:paraId="08CA558C" w14:textId="77777777" w:rsidR="00065E0A" w:rsidRDefault="00065E0A" w:rsidP="00065E0A">
      <w:pPr>
        <w:spacing w:after="160" w:line="259" w:lineRule="auto"/>
        <w:contextualSpacing/>
        <w:rPr>
          <w:rFonts w:ascii="Tahoma" w:eastAsiaTheme="minorHAnsi" w:hAnsi="Tahoma" w:cs="Tahoma"/>
          <w:sz w:val="22"/>
          <w:szCs w:val="22"/>
        </w:rPr>
      </w:pPr>
    </w:p>
    <w:p w14:paraId="733C5775" w14:textId="592F5B31" w:rsidR="00065E0A" w:rsidRP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The Financial Conduct Authority (FCA) defines a vulnerable customer as “someone who, due to their personal circumstances, is especially susceptible to detriment, particularly when a firm is not acting with appropriate levels of care.”</w:t>
      </w:r>
    </w:p>
    <w:p w14:paraId="6CF411CC" w14:textId="77777777" w:rsidR="00065E0A" w:rsidRPr="00065E0A" w:rsidRDefault="00065E0A" w:rsidP="00065E0A">
      <w:pPr>
        <w:spacing w:after="160" w:line="259" w:lineRule="auto"/>
        <w:contextualSpacing/>
        <w:rPr>
          <w:rFonts w:ascii="Tahoma" w:eastAsiaTheme="minorHAnsi" w:hAnsi="Tahoma" w:cs="Tahoma"/>
          <w:sz w:val="22"/>
          <w:szCs w:val="22"/>
        </w:rPr>
      </w:pPr>
    </w:p>
    <w:p w14:paraId="6A5BA755" w14:textId="77777777" w:rsidR="00065E0A" w:rsidRP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The FCA expects firms like Denman to treat customers fairly when we are dealing with people with vulnerable circumstances.</w:t>
      </w:r>
    </w:p>
    <w:p w14:paraId="3930ACF7" w14:textId="34DD55BD" w:rsidR="00065E0A" w:rsidRDefault="00065E0A" w:rsidP="00065E0A">
      <w:pPr>
        <w:spacing w:after="160" w:line="259" w:lineRule="auto"/>
        <w:contextualSpacing/>
        <w:rPr>
          <w:rFonts w:ascii="Tahoma" w:eastAsiaTheme="minorHAnsi" w:hAnsi="Tahoma" w:cs="Tahoma"/>
          <w:sz w:val="22"/>
          <w:szCs w:val="22"/>
        </w:rPr>
      </w:pPr>
    </w:p>
    <w:p w14:paraId="2A2EF48D" w14:textId="6668843C" w:rsidR="00165942" w:rsidRDefault="00165942" w:rsidP="00065E0A">
      <w:pPr>
        <w:spacing w:after="160" w:line="259" w:lineRule="auto"/>
        <w:contextualSpacing/>
        <w:rPr>
          <w:rFonts w:ascii="Tahoma" w:eastAsiaTheme="minorHAnsi" w:hAnsi="Tahoma" w:cs="Tahoma"/>
          <w:sz w:val="22"/>
          <w:szCs w:val="22"/>
        </w:rPr>
      </w:pPr>
    </w:p>
    <w:p w14:paraId="3AD1FF46" w14:textId="0E966010" w:rsidR="00165942" w:rsidRPr="00BC4E40" w:rsidRDefault="00165942" w:rsidP="00165942">
      <w:pPr>
        <w:spacing w:after="160" w:line="259" w:lineRule="auto"/>
        <w:contextualSpacing/>
        <w:rPr>
          <w:rFonts w:ascii="Tahoma" w:eastAsiaTheme="minorHAnsi" w:hAnsi="Tahoma" w:cs="Tahoma"/>
          <w:b/>
          <w:bCs/>
          <w:sz w:val="22"/>
          <w:szCs w:val="22"/>
        </w:rPr>
      </w:pPr>
      <w:r w:rsidRPr="00BC4E40">
        <w:rPr>
          <w:rFonts w:ascii="Tahoma" w:eastAsiaTheme="minorHAnsi" w:hAnsi="Tahoma" w:cs="Tahoma"/>
          <w:b/>
          <w:bCs/>
          <w:sz w:val="22"/>
          <w:szCs w:val="22"/>
        </w:rPr>
        <w:t>IDENTIFYING A VULNERABLE CUSTOMER</w:t>
      </w:r>
    </w:p>
    <w:p w14:paraId="39EFFE62" w14:textId="77777777" w:rsidR="00165942" w:rsidRPr="00165942" w:rsidRDefault="00165942" w:rsidP="00165942">
      <w:pPr>
        <w:spacing w:after="160" w:line="259" w:lineRule="auto"/>
        <w:contextualSpacing/>
        <w:rPr>
          <w:rFonts w:ascii="Tahoma" w:eastAsiaTheme="minorHAnsi" w:hAnsi="Tahoma" w:cs="Tahoma"/>
          <w:sz w:val="22"/>
          <w:szCs w:val="22"/>
        </w:rPr>
      </w:pPr>
    </w:p>
    <w:p w14:paraId="244C941B" w14:textId="3AB360D3" w:rsidR="00165942" w:rsidRDefault="00165942" w:rsidP="00065E0A">
      <w:pPr>
        <w:spacing w:after="160" w:line="259" w:lineRule="auto"/>
        <w:contextualSpacing/>
        <w:rPr>
          <w:rFonts w:ascii="Tahoma" w:eastAsiaTheme="minorHAnsi" w:hAnsi="Tahoma" w:cs="Tahoma"/>
          <w:sz w:val="22"/>
          <w:szCs w:val="22"/>
        </w:rPr>
      </w:pPr>
      <w:r w:rsidRPr="00165942">
        <w:rPr>
          <w:rFonts w:ascii="Tahoma" w:eastAsiaTheme="minorHAnsi" w:hAnsi="Tahoma" w:cs="Tahoma"/>
          <w:sz w:val="22"/>
          <w:szCs w:val="22"/>
        </w:rPr>
        <w:t>Our staff are trained to identify vulnerable customers so we can take extra steps to assist outside of our standard procedures. However, it is not always possible to recognise these characteristics. Therefore, if you believe you may fit the criteria for a vulnerable customer, please let us know of your particular needs.</w:t>
      </w:r>
    </w:p>
    <w:p w14:paraId="65D96BED" w14:textId="610E4BEC" w:rsidR="00165942" w:rsidRDefault="00165942" w:rsidP="00065E0A">
      <w:pPr>
        <w:spacing w:after="160" w:line="259" w:lineRule="auto"/>
        <w:contextualSpacing/>
        <w:rPr>
          <w:rFonts w:ascii="Tahoma" w:eastAsiaTheme="minorHAnsi" w:hAnsi="Tahoma" w:cs="Tahoma"/>
          <w:sz w:val="22"/>
          <w:szCs w:val="22"/>
        </w:rPr>
      </w:pPr>
    </w:p>
    <w:p w14:paraId="7C837AFE" w14:textId="77777777" w:rsidR="00165942" w:rsidRDefault="00165942" w:rsidP="00065E0A">
      <w:pPr>
        <w:spacing w:after="160" w:line="259" w:lineRule="auto"/>
        <w:contextualSpacing/>
        <w:rPr>
          <w:rFonts w:ascii="Tahoma" w:eastAsiaTheme="minorHAnsi" w:hAnsi="Tahoma" w:cs="Tahoma"/>
          <w:sz w:val="22"/>
          <w:szCs w:val="22"/>
        </w:rPr>
      </w:pPr>
    </w:p>
    <w:p w14:paraId="27ABB347" w14:textId="6ADEFC6F" w:rsidR="00065E0A" w:rsidRPr="00BC4E40" w:rsidRDefault="00065E0A" w:rsidP="00065E0A">
      <w:pPr>
        <w:spacing w:after="160" w:line="259" w:lineRule="auto"/>
        <w:contextualSpacing/>
        <w:rPr>
          <w:rFonts w:ascii="Tahoma" w:eastAsiaTheme="minorHAnsi" w:hAnsi="Tahoma" w:cs="Tahoma"/>
          <w:b/>
          <w:bCs/>
          <w:sz w:val="22"/>
          <w:szCs w:val="22"/>
        </w:rPr>
      </w:pPr>
      <w:r w:rsidRPr="00BC4E40">
        <w:rPr>
          <w:rFonts w:ascii="Tahoma" w:eastAsiaTheme="minorHAnsi" w:hAnsi="Tahoma" w:cs="Tahoma"/>
          <w:b/>
          <w:bCs/>
          <w:sz w:val="22"/>
          <w:szCs w:val="22"/>
        </w:rPr>
        <w:t>VULNERABLE GROUPS</w:t>
      </w:r>
    </w:p>
    <w:p w14:paraId="0787120F" w14:textId="77777777" w:rsidR="00065E0A" w:rsidRPr="00065E0A" w:rsidRDefault="00065E0A" w:rsidP="00065E0A">
      <w:pPr>
        <w:spacing w:after="160" w:line="259" w:lineRule="auto"/>
        <w:contextualSpacing/>
        <w:rPr>
          <w:rFonts w:ascii="Tahoma" w:eastAsiaTheme="minorHAnsi" w:hAnsi="Tahoma" w:cs="Tahoma"/>
          <w:sz w:val="22"/>
          <w:szCs w:val="22"/>
        </w:rPr>
      </w:pPr>
    </w:p>
    <w:p w14:paraId="0109767A" w14:textId="63CC73EF"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We recognise that certain groups of customers may be vulnerable. Whilst not all customers in these groups may be vulnerable, we will consider a customer’s individual circumstances where a potential vulnerability is identified. These groups may include, but are not restricted to:</w:t>
      </w:r>
    </w:p>
    <w:p w14:paraId="3588714A" w14:textId="77777777" w:rsidR="00065E0A" w:rsidRPr="00065E0A" w:rsidRDefault="00065E0A" w:rsidP="00065E0A">
      <w:pPr>
        <w:spacing w:after="160" w:line="259" w:lineRule="auto"/>
        <w:contextualSpacing/>
        <w:rPr>
          <w:rFonts w:ascii="Tahoma" w:eastAsiaTheme="minorHAnsi" w:hAnsi="Tahoma" w:cs="Tahoma"/>
          <w:sz w:val="22"/>
          <w:szCs w:val="22"/>
        </w:rPr>
      </w:pPr>
    </w:p>
    <w:p w14:paraId="6312C4F7" w14:textId="4E6EF913"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Customers with communication difficulties (including learning difficulties and English not being their first language, dyslexia)</w:t>
      </w:r>
    </w:p>
    <w:p w14:paraId="13904BA5" w14:textId="77777777" w:rsidR="00065E0A" w:rsidRPr="00065E0A" w:rsidRDefault="00065E0A" w:rsidP="00065E0A">
      <w:pPr>
        <w:spacing w:after="160" w:line="259" w:lineRule="auto"/>
        <w:contextualSpacing/>
        <w:rPr>
          <w:rFonts w:ascii="Tahoma" w:eastAsiaTheme="minorHAnsi" w:hAnsi="Tahoma" w:cs="Tahoma"/>
          <w:sz w:val="22"/>
          <w:szCs w:val="22"/>
        </w:rPr>
      </w:pPr>
    </w:p>
    <w:p w14:paraId="621B1CBC" w14:textId="21B2B8DB"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A customer with a reduction in physical or mental capacity</w:t>
      </w:r>
    </w:p>
    <w:p w14:paraId="606A8113" w14:textId="77777777" w:rsidR="00065E0A" w:rsidRPr="00065E0A" w:rsidRDefault="00065E0A" w:rsidP="00065E0A">
      <w:pPr>
        <w:spacing w:after="160" w:line="259" w:lineRule="auto"/>
        <w:contextualSpacing/>
        <w:rPr>
          <w:rFonts w:ascii="Tahoma" w:eastAsiaTheme="minorHAnsi" w:hAnsi="Tahoma" w:cs="Tahoma"/>
          <w:sz w:val="22"/>
          <w:szCs w:val="22"/>
        </w:rPr>
      </w:pPr>
    </w:p>
    <w:p w14:paraId="452A37E8" w14:textId="70E695BC"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Customer with health issues – illness, whether physical or mental illness, severe or long term</w:t>
      </w:r>
    </w:p>
    <w:p w14:paraId="590B3359" w14:textId="77777777" w:rsidR="00065E0A" w:rsidRPr="00065E0A" w:rsidRDefault="00065E0A" w:rsidP="00065E0A">
      <w:pPr>
        <w:spacing w:after="160" w:line="259" w:lineRule="auto"/>
        <w:contextualSpacing/>
        <w:rPr>
          <w:rFonts w:ascii="Tahoma" w:eastAsiaTheme="minorHAnsi" w:hAnsi="Tahoma" w:cs="Tahoma"/>
          <w:sz w:val="22"/>
          <w:szCs w:val="22"/>
        </w:rPr>
      </w:pPr>
    </w:p>
    <w:p w14:paraId="7FAF906D" w14:textId="1DBDC675"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A sudden diagnosis of serious illness to the customer or close family member</w:t>
      </w:r>
    </w:p>
    <w:p w14:paraId="14734A47" w14:textId="77777777" w:rsidR="00065E0A" w:rsidRPr="00065E0A" w:rsidRDefault="00065E0A" w:rsidP="00065E0A">
      <w:pPr>
        <w:spacing w:after="160" w:line="259" w:lineRule="auto"/>
        <w:contextualSpacing/>
        <w:rPr>
          <w:rFonts w:ascii="Tahoma" w:eastAsiaTheme="minorHAnsi" w:hAnsi="Tahoma" w:cs="Tahoma"/>
          <w:sz w:val="22"/>
          <w:szCs w:val="22"/>
        </w:rPr>
      </w:pPr>
    </w:p>
    <w:p w14:paraId="0D449AF0" w14:textId="25F53C1E"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Personal circumstances of the customer – factors such as financial difficulties, bereavement, caring responsibilities or redundancy</w:t>
      </w:r>
    </w:p>
    <w:p w14:paraId="4C1018D3" w14:textId="77777777" w:rsidR="00065E0A" w:rsidRPr="00065E0A" w:rsidRDefault="00065E0A" w:rsidP="00065E0A">
      <w:pPr>
        <w:spacing w:after="160" w:line="259" w:lineRule="auto"/>
        <w:contextualSpacing/>
        <w:rPr>
          <w:rFonts w:ascii="Tahoma" w:eastAsiaTheme="minorHAnsi" w:hAnsi="Tahoma" w:cs="Tahoma"/>
          <w:sz w:val="22"/>
          <w:szCs w:val="22"/>
        </w:rPr>
      </w:pPr>
    </w:p>
    <w:p w14:paraId="1BF8AE0D" w14:textId="46FED4C3"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The customers age particularly older and younger people. For example, a younger person may be considered inexperienced and the older person may be less technologically able</w:t>
      </w:r>
    </w:p>
    <w:p w14:paraId="39350A8B" w14:textId="42E237D5" w:rsidR="00165942" w:rsidRDefault="00165942" w:rsidP="00065E0A">
      <w:pPr>
        <w:spacing w:after="160" w:line="259" w:lineRule="auto"/>
        <w:contextualSpacing/>
        <w:rPr>
          <w:rFonts w:ascii="Tahoma" w:eastAsiaTheme="minorHAnsi" w:hAnsi="Tahoma" w:cs="Tahoma"/>
          <w:sz w:val="22"/>
          <w:szCs w:val="22"/>
        </w:rPr>
      </w:pPr>
    </w:p>
    <w:p w14:paraId="7B84CF33" w14:textId="77777777" w:rsidR="00165942" w:rsidRDefault="00165942" w:rsidP="00065E0A">
      <w:pPr>
        <w:spacing w:after="160" w:line="259" w:lineRule="auto"/>
        <w:contextualSpacing/>
        <w:rPr>
          <w:rFonts w:ascii="Tahoma" w:eastAsiaTheme="minorHAnsi" w:hAnsi="Tahoma" w:cs="Tahoma"/>
          <w:sz w:val="22"/>
          <w:szCs w:val="22"/>
        </w:rPr>
      </w:pPr>
    </w:p>
    <w:p w14:paraId="15E829A8" w14:textId="77777777" w:rsidR="00065E0A" w:rsidRPr="00065E0A" w:rsidRDefault="00065E0A" w:rsidP="00065E0A">
      <w:pPr>
        <w:spacing w:after="160" w:line="259" w:lineRule="auto"/>
        <w:contextualSpacing/>
        <w:rPr>
          <w:rFonts w:ascii="Tahoma" w:eastAsiaTheme="minorHAnsi" w:hAnsi="Tahoma" w:cs="Tahoma"/>
          <w:sz w:val="22"/>
          <w:szCs w:val="22"/>
        </w:rPr>
      </w:pPr>
    </w:p>
    <w:p w14:paraId="2E39D96D" w14:textId="0692CB0E"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lastRenderedPageBreak/>
        <w:t>Our policy when dealing with a vulnerable customer:</w:t>
      </w:r>
    </w:p>
    <w:p w14:paraId="48849454" w14:textId="77777777" w:rsidR="00065E0A" w:rsidRPr="00065E0A" w:rsidRDefault="00065E0A" w:rsidP="00065E0A">
      <w:pPr>
        <w:spacing w:after="160" w:line="259" w:lineRule="auto"/>
        <w:contextualSpacing/>
        <w:rPr>
          <w:rFonts w:ascii="Tahoma" w:eastAsiaTheme="minorHAnsi" w:hAnsi="Tahoma" w:cs="Tahoma"/>
          <w:sz w:val="22"/>
          <w:szCs w:val="22"/>
        </w:rPr>
      </w:pPr>
    </w:p>
    <w:p w14:paraId="7C5706FB" w14:textId="03ADC9F3"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xml:space="preserve">As soon </w:t>
      </w:r>
      <w:r>
        <w:rPr>
          <w:rFonts w:ascii="Tahoma" w:eastAsiaTheme="minorHAnsi" w:hAnsi="Tahoma" w:cs="Tahoma"/>
          <w:sz w:val="22"/>
          <w:szCs w:val="22"/>
        </w:rPr>
        <w:t xml:space="preserve">as </w:t>
      </w:r>
      <w:r w:rsidRPr="00065E0A">
        <w:rPr>
          <w:rFonts w:ascii="Tahoma" w:eastAsiaTheme="minorHAnsi" w:hAnsi="Tahoma" w:cs="Tahoma"/>
          <w:sz w:val="22"/>
          <w:szCs w:val="22"/>
        </w:rPr>
        <w:t>we think we may be engaging with a vulnerable customer, whether this is through our identification or you notifying us, we will:</w:t>
      </w:r>
    </w:p>
    <w:p w14:paraId="778DD624" w14:textId="77777777" w:rsidR="00065E0A" w:rsidRPr="00065E0A" w:rsidRDefault="00065E0A" w:rsidP="00065E0A">
      <w:pPr>
        <w:spacing w:after="160" w:line="259" w:lineRule="auto"/>
        <w:contextualSpacing/>
        <w:rPr>
          <w:rFonts w:ascii="Tahoma" w:eastAsiaTheme="minorHAnsi" w:hAnsi="Tahoma" w:cs="Tahoma"/>
          <w:sz w:val="22"/>
          <w:szCs w:val="22"/>
        </w:rPr>
      </w:pPr>
    </w:p>
    <w:p w14:paraId="31B3C9F7" w14:textId="175D1D24"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Make a record of this and deal sensitively with your needs</w:t>
      </w:r>
    </w:p>
    <w:p w14:paraId="6A339D81" w14:textId="77777777" w:rsidR="00065E0A" w:rsidRPr="00065E0A" w:rsidRDefault="00065E0A" w:rsidP="00065E0A">
      <w:pPr>
        <w:spacing w:after="160" w:line="259" w:lineRule="auto"/>
        <w:contextualSpacing/>
        <w:rPr>
          <w:rFonts w:ascii="Tahoma" w:eastAsiaTheme="minorHAnsi" w:hAnsi="Tahoma" w:cs="Tahoma"/>
          <w:sz w:val="22"/>
          <w:szCs w:val="22"/>
        </w:rPr>
      </w:pPr>
    </w:p>
    <w:p w14:paraId="5957C918" w14:textId="592E5D3D"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Provide additional opportunities for you to ask questions about the information we have provided</w:t>
      </w:r>
    </w:p>
    <w:p w14:paraId="62BBE545" w14:textId="77777777" w:rsidR="00065E0A" w:rsidRPr="00065E0A" w:rsidRDefault="00065E0A" w:rsidP="00065E0A">
      <w:pPr>
        <w:spacing w:after="160" w:line="259" w:lineRule="auto"/>
        <w:contextualSpacing/>
        <w:rPr>
          <w:rFonts w:ascii="Tahoma" w:eastAsiaTheme="minorHAnsi" w:hAnsi="Tahoma" w:cs="Tahoma"/>
          <w:sz w:val="22"/>
          <w:szCs w:val="22"/>
        </w:rPr>
      </w:pPr>
    </w:p>
    <w:p w14:paraId="5C29AA61" w14:textId="0869997D" w:rsidR="00FA38C3" w:rsidRDefault="00065E0A" w:rsidP="00FA38C3">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Continuously seek confirmation that you have understood the information that has been provided</w:t>
      </w:r>
    </w:p>
    <w:p w14:paraId="5631FCD7" w14:textId="56BDB94B" w:rsidR="00FA38C3" w:rsidRDefault="00FA38C3" w:rsidP="00FA38C3">
      <w:pPr>
        <w:spacing w:after="160" w:line="259" w:lineRule="auto"/>
        <w:contextualSpacing/>
        <w:rPr>
          <w:rFonts w:ascii="Tahoma" w:eastAsiaTheme="minorHAnsi" w:hAnsi="Tahoma" w:cs="Tahoma"/>
          <w:sz w:val="22"/>
          <w:szCs w:val="22"/>
        </w:rPr>
      </w:pPr>
    </w:p>
    <w:p w14:paraId="0E591A44" w14:textId="0B897E0F" w:rsidR="00FA38C3" w:rsidRDefault="00FA38C3" w:rsidP="00FA38C3">
      <w:pPr>
        <w:pStyle w:val="ListParagraph"/>
        <w:numPr>
          <w:ilvl w:val="0"/>
          <w:numId w:val="9"/>
        </w:numPr>
        <w:spacing w:after="160" w:line="259" w:lineRule="auto"/>
        <w:rPr>
          <w:rFonts w:ascii="Tahoma" w:eastAsiaTheme="minorHAnsi" w:hAnsi="Tahoma" w:cs="Tahoma"/>
          <w:sz w:val="22"/>
          <w:szCs w:val="22"/>
        </w:rPr>
      </w:pPr>
      <w:r>
        <w:rPr>
          <w:rFonts w:ascii="Tahoma" w:eastAsiaTheme="minorHAnsi" w:hAnsi="Tahoma" w:cs="Tahoma"/>
          <w:sz w:val="22"/>
          <w:szCs w:val="22"/>
        </w:rPr>
        <w:t>If there is difficulty in communicating, then we will discuss options with you to assess the best method of doing so, perhaps all via email or via a third party if English is not your first language</w:t>
      </w:r>
    </w:p>
    <w:p w14:paraId="34B5B76D" w14:textId="77777777" w:rsidR="00FA38C3" w:rsidRPr="00FA38C3" w:rsidRDefault="00FA38C3" w:rsidP="00FA38C3">
      <w:pPr>
        <w:pStyle w:val="ListParagraph"/>
        <w:spacing w:after="160" w:line="259" w:lineRule="auto"/>
        <w:rPr>
          <w:rFonts w:ascii="Tahoma" w:eastAsiaTheme="minorHAnsi" w:hAnsi="Tahoma" w:cs="Tahoma"/>
          <w:sz w:val="22"/>
          <w:szCs w:val="22"/>
        </w:rPr>
      </w:pPr>
    </w:p>
    <w:p w14:paraId="7D4DE7B3" w14:textId="77777777" w:rsidR="00065E0A" w:rsidRPr="00065E0A" w:rsidRDefault="00065E0A" w:rsidP="00065E0A">
      <w:pPr>
        <w:spacing w:after="160" w:line="259" w:lineRule="auto"/>
        <w:contextualSpacing/>
        <w:rPr>
          <w:rFonts w:ascii="Tahoma" w:eastAsiaTheme="minorHAnsi" w:hAnsi="Tahoma" w:cs="Tahoma"/>
          <w:sz w:val="22"/>
          <w:szCs w:val="22"/>
        </w:rPr>
      </w:pPr>
    </w:p>
    <w:p w14:paraId="4D8498AE" w14:textId="3A4AB05B"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 Ask if there is anybody with you who is able to assist. If not, and we believe this will be beneficial, we will discuss the matter further with your insurers to see if we make arrangements to continue with the claim at another time</w:t>
      </w:r>
    </w:p>
    <w:p w14:paraId="5E5C7224" w14:textId="1B93BC2D" w:rsidR="00FA38C3" w:rsidRDefault="00FA38C3" w:rsidP="00065E0A">
      <w:pPr>
        <w:spacing w:after="160" w:line="259" w:lineRule="auto"/>
        <w:contextualSpacing/>
        <w:rPr>
          <w:rFonts w:ascii="Tahoma" w:eastAsiaTheme="minorHAnsi" w:hAnsi="Tahoma" w:cs="Tahoma"/>
          <w:sz w:val="22"/>
          <w:szCs w:val="22"/>
        </w:rPr>
      </w:pPr>
    </w:p>
    <w:p w14:paraId="0DA6CFCF" w14:textId="5DC258A8" w:rsidR="00FA38C3" w:rsidRDefault="00FA38C3" w:rsidP="00065E0A">
      <w:pPr>
        <w:spacing w:after="160" w:line="259" w:lineRule="auto"/>
        <w:contextualSpacing/>
        <w:rPr>
          <w:rFonts w:ascii="Tahoma" w:eastAsiaTheme="minorHAnsi" w:hAnsi="Tahoma" w:cs="Tahoma"/>
          <w:sz w:val="22"/>
          <w:szCs w:val="22"/>
        </w:rPr>
      </w:pPr>
      <w:r>
        <w:rPr>
          <w:rFonts w:ascii="Tahoma" w:eastAsiaTheme="minorHAnsi" w:hAnsi="Tahoma" w:cs="Tahoma"/>
          <w:sz w:val="22"/>
          <w:szCs w:val="22"/>
        </w:rPr>
        <w:t>If a customer is identified as vulnerable then we will ensure we provide sufficient information to our staff to ensure they can offer the best possible assistance to that customer, but we will not provide any information we have obtained that we do not feel will be beneficial to the personnel involved</w:t>
      </w:r>
    </w:p>
    <w:p w14:paraId="03D01846" w14:textId="613FF6D7" w:rsidR="00FA38C3" w:rsidRDefault="00FA38C3" w:rsidP="00065E0A">
      <w:pPr>
        <w:spacing w:after="160" w:line="259" w:lineRule="auto"/>
        <w:contextualSpacing/>
        <w:rPr>
          <w:rFonts w:ascii="Tahoma" w:eastAsiaTheme="minorHAnsi" w:hAnsi="Tahoma" w:cs="Tahoma"/>
          <w:sz w:val="22"/>
          <w:szCs w:val="22"/>
        </w:rPr>
      </w:pPr>
    </w:p>
    <w:p w14:paraId="6DED85E5" w14:textId="39CD13B6" w:rsidR="00FA38C3" w:rsidRDefault="00FA38C3" w:rsidP="00065E0A">
      <w:pPr>
        <w:spacing w:after="160" w:line="259" w:lineRule="auto"/>
        <w:contextualSpacing/>
        <w:rPr>
          <w:rFonts w:ascii="Tahoma" w:eastAsiaTheme="minorHAnsi" w:hAnsi="Tahoma" w:cs="Tahoma"/>
          <w:sz w:val="22"/>
          <w:szCs w:val="22"/>
        </w:rPr>
      </w:pPr>
      <w:r>
        <w:rPr>
          <w:rFonts w:ascii="Tahoma" w:eastAsiaTheme="minorHAnsi" w:hAnsi="Tahoma" w:cs="Tahoma"/>
          <w:sz w:val="22"/>
          <w:szCs w:val="22"/>
        </w:rPr>
        <w:t>As a claim progressed and is ultimately completed, we will continue to liaise with the customer to ensure we are suitably managing their claim to meet their expectations and we will share lessons learned from such claims (anonymously) in our team feedback meetings</w:t>
      </w:r>
      <w:r w:rsidR="008D3ADB">
        <w:rPr>
          <w:rFonts w:ascii="Tahoma" w:eastAsiaTheme="minorHAnsi" w:hAnsi="Tahoma" w:cs="Tahoma"/>
          <w:sz w:val="22"/>
          <w:szCs w:val="22"/>
        </w:rPr>
        <w:t xml:space="preserve"> to improve our procedures moving forward</w:t>
      </w:r>
    </w:p>
    <w:p w14:paraId="1E86A6C6" w14:textId="77777777" w:rsidR="00065E0A" w:rsidRPr="00065E0A" w:rsidRDefault="00065E0A" w:rsidP="00065E0A">
      <w:pPr>
        <w:spacing w:after="160" w:line="259" w:lineRule="auto"/>
        <w:contextualSpacing/>
        <w:rPr>
          <w:rFonts w:ascii="Tahoma" w:eastAsiaTheme="minorHAnsi" w:hAnsi="Tahoma" w:cs="Tahoma"/>
          <w:sz w:val="22"/>
          <w:szCs w:val="22"/>
        </w:rPr>
      </w:pPr>
    </w:p>
    <w:p w14:paraId="0DF05FD3" w14:textId="72E23382" w:rsidR="00065E0A" w:rsidRDefault="00065E0A" w:rsidP="00065E0A">
      <w:pPr>
        <w:spacing w:after="160" w:line="259" w:lineRule="auto"/>
        <w:contextualSpacing/>
        <w:rPr>
          <w:rFonts w:ascii="Tahoma" w:eastAsiaTheme="minorHAnsi" w:hAnsi="Tahoma" w:cs="Tahoma"/>
          <w:sz w:val="22"/>
          <w:szCs w:val="22"/>
        </w:rPr>
      </w:pPr>
      <w:r w:rsidRPr="00065E0A">
        <w:rPr>
          <w:rFonts w:ascii="Tahoma" w:eastAsiaTheme="minorHAnsi" w:hAnsi="Tahoma" w:cs="Tahoma"/>
          <w:sz w:val="22"/>
          <w:szCs w:val="22"/>
        </w:rPr>
        <w:t>If we can’t help a customer, we will try and make sure that they understand what alternative options are available to them and do our best to provide an appropriate outcome to your claim</w:t>
      </w:r>
    </w:p>
    <w:p w14:paraId="59B627D2" w14:textId="3C227E67" w:rsidR="00065E0A" w:rsidRDefault="00065E0A" w:rsidP="00065E0A">
      <w:pPr>
        <w:spacing w:after="160" w:line="259" w:lineRule="auto"/>
        <w:contextualSpacing/>
        <w:rPr>
          <w:rFonts w:ascii="Tahoma" w:eastAsiaTheme="minorHAnsi" w:hAnsi="Tahoma" w:cs="Tahoma"/>
          <w:sz w:val="22"/>
          <w:szCs w:val="22"/>
        </w:rPr>
      </w:pPr>
    </w:p>
    <w:p w14:paraId="394FF484" w14:textId="77777777" w:rsidR="00911E98" w:rsidRPr="009C0E0F" w:rsidRDefault="00911E98" w:rsidP="00911E98">
      <w:pPr>
        <w:jc w:val="both"/>
        <w:rPr>
          <w:rFonts w:ascii="Tahoma" w:hAnsi="Tahoma" w:cs="Tahoma"/>
          <w:sz w:val="22"/>
          <w:szCs w:val="22"/>
        </w:rPr>
      </w:pPr>
    </w:p>
    <w:p w14:paraId="4B6430D0" w14:textId="77777777" w:rsidR="00FA3613" w:rsidRPr="009C0E0F" w:rsidRDefault="00840387" w:rsidP="00911E98">
      <w:pPr>
        <w:tabs>
          <w:tab w:val="left" w:pos="720"/>
          <w:tab w:val="left" w:pos="2880"/>
          <w:tab w:val="right" w:pos="8280"/>
        </w:tabs>
        <w:rPr>
          <w:rFonts w:ascii="Tahoma" w:hAnsi="Tahoma" w:cs="Tahoma"/>
          <w:sz w:val="22"/>
          <w:szCs w:val="22"/>
          <w:lang w:eastAsia="en-GB"/>
        </w:rPr>
      </w:pPr>
      <w:r w:rsidRPr="009C0E0F">
        <w:rPr>
          <w:rFonts w:ascii="Tahoma" w:hAnsi="Tahoma" w:cs="Tahoma"/>
          <w:noProof/>
          <w:sz w:val="22"/>
          <w:szCs w:val="22"/>
          <w:lang w:eastAsia="en-GB"/>
        </w:rPr>
        <w:drawing>
          <wp:inline distT="0" distB="0" distL="0" distR="0" wp14:anchorId="17927823" wp14:editId="6AFA82E2">
            <wp:extent cx="1822450" cy="496358"/>
            <wp:effectExtent l="0" t="0" r="6350" b="0"/>
            <wp:docPr id="1" name="Picture 1" descr="mtd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d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802" cy="514429"/>
                    </a:xfrm>
                    <a:prstGeom prst="rect">
                      <a:avLst/>
                    </a:prstGeom>
                    <a:noFill/>
                    <a:ln>
                      <a:noFill/>
                    </a:ln>
                  </pic:spPr>
                </pic:pic>
              </a:graphicData>
            </a:graphic>
          </wp:inline>
        </w:drawing>
      </w:r>
    </w:p>
    <w:p w14:paraId="5D403C9A" w14:textId="2015F429" w:rsidR="004F49AD" w:rsidRPr="009C0E0F" w:rsidRDefault="00911E98" w:rsidP="00911E98">
      <w:pPr>
        <w:tabs>
          <w:tab w:val="left" w:pos="720"/>
          <w:tab w:val="left" w:pos="2880"/>
          <w:tab w:val="right" w:pos="8280"/>
        </w:tabs>
        <w:rPr>
          <w:rFonts w:ascii="Tahoma" w:hAnsi="Tahoma" w:cs="Tahoma"/>
          <w:sz w:val="22"/>
          <w:szCs w:val="22"/>
          <w:lang w:eastAsia="en-GB"/>
        </w:rPr>
      </w:pPr>
      <w:r w:rsidRPr="009C0E0F">
        <w:rPr>
          <w:rFonts w:ascii="Tahoma" w:hAnsi="Tahoma" w:cs="Tahoma"/>
          <w:sz w:val="22"/>
          <w:szCs w:val="22"/>
          <w:lang w:eastAsia="en-GB"/>
        </w:rPr>
        <w:t xml:space="preserve">Mark Denman </w:t>
      </w:r>
      <w:r w:rsidR="008B798B" w:rsidRPr="009C0E0F">
        <w:rPr>
          <w:rFonts w:ascii="Tahoma" w:hAnsi="Tahoma" w:cs="Tahoma"/>
          <w:sz w:val="22"/>
          <w:szCs w:val="22"/>
          <w:lang w:eastAsia="en-GB"/>
        </w:rPr>
        <w:t xml:space="preserve">(Managing Director) – </w:t>
      </w:r>
      <w:r w:rsidR="00FF3455">
        <w:rPr>
          <w:rFonts w:ascii="Tahoma" w:hAnsi="Tahoma" w:cs="Tahoma"/>
          <w:sz w:val="22"/>
          <w:szCs w:val="22"/>
          <w:lang w:eastAsia="en-GB"/>
        </w:rPr>
        <w:t xml:space="preserve">Reviewed </w:t>
      </w:r>
      <w:r w:rsidR="004F49AD">
        <w:rPr>
          <w:rFonts w:ascii="Tahoma" w:hAnsi="Tahoma" w:cs="Tahoma"/>
          <w:sz w:val="22"/>
          <w:szCs w:val="22"/>
          <w:lang w:eastAsia="en-GB"/>
        </w:rPr>
        <w:t>–</w:t>
      </w:r>
      <w:r w:rsidR="00FF3455">
        <w:rPr>
          <w:rFonts w:ascii="Tahoma" w:hAnsi="Tahoma" w:cs="Tahoma"/>
          <w:sz w:val="22"/>
          <w:szCs w:val="22"/>
          <w:lang w:eastAsia="en-GB"/>
        </w:rPr>
        <w:t xml:space="preserve"> </w:t>
      </w:r>
      <w:r w:rsidR="004F49AD">
        <w:rPr>
          <w:rFonts w:ascii="Tahoma" w:hAnsi="Tahoma" w:cs="Tahoma"/>
          <w:sz w:val="22"/>
          <w:szCs w:val="22"/>
          <w:lang w:eastAsia="en-GB"/>
        </w:rPr>
        <w:t>April 202</w:t>
      </w:r>
      <w:r w:rsidR="00B81F91">
        <w:rPr>
          <w:rFonts w:ascii="Tahoma" w:hAnsi="Tahoma" w:cs="Tahoma"/>
          <w:sz w:val="22"/>
          <w:szCs w:val="22"/>
          <w:lang w:eastAsia="en-GB"/>
        </w:rPr>
        <w:t>4</w:t>
      </w:r>
    </w:p>
    <w:p w14:paraId="7B8766DF" w14:textId="30DCA93E" w:rsidR="00911E98" w:rsidRPr="009C0E0F" w:rsidRDefault="008B798B" w:rsidP="00911E98">
      <w:pPr>
        <w:tabs>
          <w:tab w:val="left" w:pos="720"/>
          <w:tab w:val="left" w:pos="2880"/>
          <w:tab w:val="right" w:pos="8280"/>
        </w:tabs>
        <w:rPr>
          <w:rFonts w:ascii="Tahoma" w:hAnsi="Tahoma" w:cs="Tahoma"/>
          <w:sz w:val="22"/>
          <w:szCs w:val="22"/>
        </w:rPr>
      </w:pPr>
      <w:r w:rsidRPr="009C0E0F">
        <w:rPr>
          <w:rFonts w:ascii="Tahoma" w:hAnsi="Tahoma" w:cs="Tahoma"/>
          <w:sz w:val="22"/>
          <w:szCs w:val="22"/>
          <w:lang w:eastAsia="en-GB"/>
        </w:rPr>
        <w:t xml:space="preserve">To be reviewed </w:t>
      </w:r>
      <w:r w:rsidR="004F49AD">
        <w:rPr>
          <w:rFonts w:ascii="Tahoma" w:hAnsi="Tahoma" w:cs="Tahoma"/>
          <w:sz w:val="22"/>
          <w:szCs w:val="22"/>
          <w:lang w:eastAsia="en-GB"/>
        </w:rPr>
        <w:t>April</w:t>
      </w:r>
      <w:r w:rsidRPr="009C0E0F">
        <w:rPr>
          <w:rFonts w:ascii="Tahoma" w:hAnsi="Tahoma" w:cs="Tahoma"/>
          <w:sz w:val="22"/>
          <w:szCs w:val="22"/>
          <w:lang w:eastAsia="en-GB"/>
        </w:rPr>
        <w:t xml:space="preserve"> 20</w:t>
      </w:r>
      <w:r w:rsidR="00F119D8" w:rsidRPr="009C0E0F">
        <w:rPr>
          <w:rFonts w:ascii="Tahoma" w:hAnsi="Tahoma" w:cs="Tahoma"/>
          <w:sz w:val="22"/>
          <w:szCs w:val="22"/>
          <w:lang w:eastAsia="en-GB"/>
        </w:rPr>
        <w:t>2</w:t>
      </w:r>
      <w:r w:rsidR="00B81F91">
        <w:rPr>
          <w:rFonts w:ascii="Tahoma" w:hAnsi="Tahoma" w:cs="Tahoma"/>
          <w:sz w:val="22"/>
          <w:szCs w:val="22"/>
          <w:lang w:eastAsia="en-GB"/>
        </w:rPr>
        <w:t>5</w:t>
      </w:r>
    </w:p>
    <w:p w14:paraId="148277CB" w14:textId="5AC8CF94" w:rsidR="00911E98" w:rsidRDefault="00911E98" w:rsidP="00911E98">
      <w:pPr>
        <w:jc w:val="both"/>
        <w:rPr>
          <w:rFonts w:ascii="Tahoma" w:hAnsi="Tahoma" w:cs="Tahoma"/>
        </w:rPr>
      </w:pPr>
    </w:p>
    <w:p w14:paraId="64D05A86" w14:textId="282DB25A" w:rsidR="005D6326" w:rsidRDefault="005D6326" w:rsidP="00911E98">
      <w:pPr>
        <w:jc w:val="both"/>
        <w:rPr>
          <w:rFonts w:ascii="Tahoma" w:hAnsi="Tahoma" w:cs="Tahoma"/>
        </w:rPr>
      </w:pPr>
    </w:p>
    <w:p w14:paraId="7C200135" w14:textId="72DB3846" w:rsidR="005D6326" w:rsidRDefault="005D6326" w:rsidP="00911E98">
      <w:pPr>
        <w:jc w:val="both"/>
        <w:rPr>
          <w:rFonts w:ascii="Tahoma" w:hAnsi="Tahoma" w:cs="Tahoma"/>
        </w:rPr>
      </w:pPr>
    </w:p>
    <w:p w14:paraId="5F0AD688" w14:textId="3DD4F80C" w:rsidR="005D6326" w:rsidRDefault="005D6326" w:rsidP="00911E98">
      <w:pPr>
        <w:jc w:val="both"/>
        <w:rPr>
          <w:rFonts w:ascii="Tahoma" w:hAnsi="Tahoma" w:cs="Tahoma"/>
        </w:rPr>
      </w:pPr>
    </w:p>
    <w:p w14:paraId="2E3CB9A1" w14:textId="08238162" w:rsidR="005D6326" w:rsidRPr="00FA3613" w:rsidRDefault="005D6326" w:rsidP="00911E98">
      <w:pPr>
        <w:jc w:val="both"/>
        <w:rPr>
          <w:rFonts w:ascii="Tahoma" w:hAnsi="Tahoma" w:cs="Tahoma"/>
        </w:rPr>
      </w:pPr>
      <w:r>
        <w:rPr>
          <w:noProof/>
        </w:rPr>
        <w:lastRenderedPageBreak/>
        <w:drawing>
          <wp:inline distT="0" distB="0" distL="0" distR="0" wp14:anchorId="5527495E" wp14:editId="5D98FD69">
            <wp:extent cx="5895975" cy="4591050"/>
            <wp:effectExtent l="0" t="0" r="952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895975" cy="4591050"/>
                    </a:xfrm>
                    <a:prstGeom prst="rect">
                      <a:avLst/>
                    </a:prstGeom>
                  </pic:spPr>
                </pic:pic>
              </a:graphicData>
            </a:graphic>
          </wp:inline>
        </w:drawing>
      </w:r>
    </w:p>
    <w:p w14:paraId="6C3A671B" w14:textId="77777777" w:rsidR="00C11CE6" w:rsidRPr="00FA3613" w:rsidRDefault="00C11CE6" w:rsidP="005C6F43">
      <w:pPr>
        <w:jc w:val="both"/>
        <w:rPr>
          <w:rFonts w:ascii="Tahoma" w:hAnsi="Tahoma" w:cs="Tahoma"/>
        </w:rPr>
      </w:pPr>
    </w:p>
    <w:sectPr w:rsidR="00C11CE6" w:rsidRPr="00FA3613" w:rsidSect="008353F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pgBorders w:offsetFrom="page">
        <w:top w:val="single" w:sz="12" w:space="24" w:color="8CC63F"/>
        <w:left w:val="single" w:sz="12" w:space="24" w:color="8CC63F"/>
        <w:bottom w:val="single" w:sz="12" w:space="24" w:color="8CC63F"/>
        <w:right w:val="single" w:sz="12" w:space="24" w:color="8CC63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F6AB" w14:textId="77777777" w:rsidR="00C700CC" w:rsidRDefault="00C700CC">
      <w:r>
        <w:separator/>
      </w:r>
    </w:p>
  </w:endnote>
  <w:endnote w:type="continuationSeparator" w:id="0">
    <w:p w14:paraId="549EF28F" w14:textId="77777777" w:rsidR="00C700CC" w:rsidRDefault="00C7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F1E4" w14:textId="77777777" w:rsidR="00362F04" w:rsidRDefault="00362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98BA" w14:textId="4C523E0C" w:rsidR="00936DD7" w:rsidRPr="00911E98" w:rsidRDefault="00840387">
    <w:pPr>
      <w:pStyle w:val="Footer"/>
      <w:rPr>
        <w:rFonts w:ascii="Tahoma" w:hAnsi="Tahoma" w:cs="Tahoma"/>
      </w:rPr>
    </w:pPr>
    <w:r w:rsidRPr="00FA6B98">
      <w:rPr>
        <w:rFonts w:ascii="Tahoma" w:hAnsi="Tahoma" w:cs="Tahoma"/>
        <w:sz w:val="20"/>
      </w:rPr>
      <w:t>Unc</w:t>
    </w:r>
    <w:r>
      <w:rPr>
        <w:rFonts w:ascii="Tahoma" w:hAnsi="Tahoma" w:cs="Tahoma"/>
        <w:sz w:val="20"/>
      </w:rPr>
      <w:t>ontrolled when printed</w:t>
    </w:r>
    <w:r>
      <w:rPr>
        <w:rFonts w:ascii="Tahoma" w:hAnsi="Tahoma" w:cs="Tahoma"/>
        <w:sz w:val="20"/>
      </w:rPr>
      <w:tab/>
      <w:t xml:space="preserve">Version </w:t>
    </w:r>
    <w:r w:rsidR="00362F04">
      <w:rPr>
        <w:rFonts w:ascii="Tahoma" w:hAnsi="Tahoma" w:cs="Tahoma"/>
        <w:sz w:val="20"/>
      </w:rPr>
      <w:t>2</w:t>
    </w:r>
    <w:r w:rsidRPr="00FA6B98">
      <w:rPr>
        <w:rFonts w:ascii="Tahoma" w:hAnsi="Tahoma" w:cs="Tahoma"/>
        <w:sz w:val="20"/>
      </w:rPr>
      <w:tab/>
      <w:t xml:space="preserve">Page </w:t>
    </w:r>
    <w:r w:rsidRPr="00FA6B98">
      <w:rPr>
        <w:rFonts w:ascii="Tahoma" w:hAnsi="Tahoma" w:cs="Tahoma"/>
        <w:sz w:val="20"/>
      </w:rPr>
      <w:fldChar w:fldCharType="begin"/>
    </w:r>
    <w:r w:rsidRPr="00FA6B98">
      <w:rPr>
        <w:rFonts w:ascii="Tahoma" w:hAnsi="Tahoma" w:cs="Tahoma"/>
        <w:sz w:val="20"/>
      </w:rPr>
      <w:instrText xml:space="preserve"> PAGE   \* MERGEFORMAT </w:instrText>
    </w:r>
    <w:r w:rsidRPr="00FA6B98">
      <w:rPr>
        <w:rFonts w:ascii="Tahoma" w:hAnsi="Tahoma" w:cs="Tahoma"/>
        <w:sz w:val="20"/>
      </w:rPr>
      <w:fldChar w:fldCharType="separate"/>
    </w:r>
    <w:r>
      <w:rPr>
        <w:rFonts w:ascii="Tahoma" w:hAnsi="Tahoma" w:cs="Tahoma"/>
        <w:noProof/>
        <w:sz w:val="20"/>
      </w:rPr>
      <w:t>2</w:t>
    </w:r>
    <w:r w:rsidRPr="00FA6B98">
      <w:rPr>
        <w:rFonts w:ascii="Tahoma" w:hAnsi="Tahoma" w:cs="Tahoma"/>
        <w:sz w:val="20"/>
      </w:rPr>
      <w:fldChar w:fldCharType="end"/>
    </w:r>
    <w:r w:rsidRPr="00FA6B98">
      <w:rPr>
        <w:rFonts w:ascii="Tahoma" w:hAnsi="Tahoma" w:cs="Tahoma"/>
        <w:sz w:val="20"/>
      </w:rPr>
      <w:t xml:space="preserve"> of </w:t>
    </w:r>
    <w:r w:rsidRPr="00FA6B98">
      <w:rPr>
        <w:rFonts w:ascii="Tahoma" w:hAnsi="Tahoma" w:cs="Tahoma"/>
        <w:sz w:val="20"/>
      </w:rPr>
      <w:fldChar w:fldCharType="begin"/>
    </w:r>
    <w:r w:rsidRPr="00FA6B98">
      <w:rPr>
        <w:rFonts w:ascii="Tahoma" w:hAnsi="Tahoma" w:cs="Tahoma"/>
        <w:sz w:val="20"/>
      </w:rPr>
      <w:instrText xml:space="preserve"> NUMPAGES </w:instrText>
    </w:r>
    <w:r w:rsidRPr="00FA6B98">
      <w:rPr>
        <w:rFonts w:ascii="Tahoma" w:hAnsi="Tahoma" w:cs="Tahoma"/>
        <w:sz w:val="20"/>
      </w:rPr>
      <w:fldChar w:fldCharType="separate"/>
    </w:r>
    <w:r>
      <w:rPr>
        <w:rFonts w:ascii="Tahoma" w:hAnsi="Tahoma" w:cs="Tahoma"/>
        <w:noProof/>
        <w:sz w:val="20"/>
      </w:rPr>
      <w:t>2</w:t>
    </w:r>
    <w:r w:rsidRPr="00FA6B98">
      <w:rPr>
        <w:rFonts w:ascii="Tahoma" w:hAnsi="Tahoma" w:cs="Tahoma"/>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953C" w14:textId="77777777" w:rsidR="00362F04" w:rsidRDefault="00362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2955" w14:textId="77777777" w:rsidR="00C700CC" w:rsidRDefault="00C700CC">
      <w:r>
        <w:separator/>
      </w:r>
    </w:p>
  </w:footnote>
  <w:footnote w:type="continuationSeparator" w:id="0">
    <w:p w14:paraId="60AEEC16" w14:textId="77777777" w:rsidR="00C700CC" w:rsidRDefault="00C7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31BF" w14:textId="77777777" w:rsidR="00362F04" w:rsidRDefault="00362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552"/>
      <w:gridCol w:w="6830"/>
    </w:tblGrid>
    <w:tr w:rsidR="00936DD7" w:rsidRPr="00A60A68" w14:paraId="07FBE6E1" w14:textId="77777777">
      <w:trPr>
        <w:cantSplit/>
        <w:trHeight w:val="951"/>
      </w:trPr>
      <w:tc>
        <w:tcPr>
          <w:tcW w:w="2552" w:type="dxa"/>
          <w:vAlign w:val="center"/>
        </w:tcPr>
        <w:p w14:paraId="64120A64" w14:textId="77777777" w:rsidR="00936DD7" w:rsidRPr="00A60A68" w:rsidRDefault="00840387" w:rsidP="00436019">
          <w:pPr>
            <w:pStyle w:val="Header"/>
            <w:jc w:val="center"/>
          </w:pPr>
          <w:r>
            <w:rPr>
              <w:noProof/>
              <w:lang w:val="en-US"/>
            </w:rPr>
            <w:drawing>
              <wp:anchor distT="0" distB="0" distL="114300" distR="114300" simplePos="0" relativeHeight="251657728" behindDoc="0" locked="0" layoutInCell="1" allowOverlap="1" wp14:anchorId="248F1FA2" wp14:editId="21BD4532">
                <wp:simplePos x="0" y="0"/>
                <wp:positionH relativeFrom="column">
                  <wp:posOffset>2540</wp:posOffset>
                </wp:positionH>
                <wp:positionV relativeFrom="paragraph">
                  <wp:posOffset>38100</wp:posOffset>
                </wp:positionV>
                <wp:extent cx="1497330" cy="408940"/>
                <wp:effectExtent l="0" t="0" r="0" b="0"/>
                <wp:wrapNone/>
                <wp:docPr id="5" name="Picture 5" descr="NEW DENMAN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DENMAN 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40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0" w:type="dxa"/>
          <w:vAlign w:val="center"/>
        </w:tcPr>
        <w:p w14:paraId="232581E9" w14:textId="77777777" w:rsidR="00936DD7" w:rsidRPr="00A60A68" w:rsidRDefault="00936DD7" w:rsidP="00436019">
          <w:pPr>
            <w:pStyle w:val="Header"/>
            <w:jc w:val="center"/>
          </w:pPr>
        </w:p>
        <w:p w14:paraId="70F58A7A" w14:textId="7A020B28" w:rsidR="00936DD7" w:rsidRPr="00FA3613" w:rsidRDefault="000A5A02" w:rsidP="00436019">
          <w:pPr>
            <w:pStyle w:val="Header"/>
            <w:jc w:val="center"/>
            <w:rPr>
              <w:rFonts w:ascii="Tahoma" w:hAnsi="Tahoma" w:cs="Tahoma"/>
            </w:rPr>
          </w:pPr>
          <w:bookmarkStart w:id="0" w:name="_Hlt500325714"/>
          <w:bookmarkEnd w:id="0"/>
          <w:r>
            <w:rPr>
              <w:rFonts w:ascii="Tahoma" w:hAnsi="Tahoma" w:cs="Tahoma"/>
              <w:b/>
              <w:sz w:val="32"/>
            </w:rPr>
            <w:t>Vulnerable Customer</w:t>
          </w:r>
          <w:r w:rsidR="00936DD7" w:rsidRPr="00FA3613">
            <w:rPr>
              <w:rFonts w:ascii="Tahoma" w:hAnsi="Tahoma" w:cs="Tahoma"/>
              <w:b/>
              <w:sz w:val="32"/>
            </w:rPr>
            <w:t xml:space="preserve"> Policy</w:t>
          </w:r>
        </w:p>
        <w:p w14:paraId="16CE6B6D" w14:textId="77777777" w:rsidR="00936DD7" w:rsidRPr="00A60A68" w:rsidRDefault="00936DD7" w:rsidP="00436019">
          <w:pPr>
            <w:pStyle w:val="Header"/>
            <w:jc w:val="center"/>
          </w:pPr>
        </w:p>
      </w:tc>
    </w:tr>
  </w:tbl>
  <w:p w14:paraId="65D4F4A4" w14:textId="77777777" w:rsidR="00936DD7" w:rsidRDefault="0093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2D48" w14:textId="77777777" w:rsidR="00362F04" w:rsidRDefault="00362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DFA"/>
    <w:multiLevelType w:val="hybridMultilevel"/>
    <w:tmpl w:val="CBB69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D6990"/>
    <w:multiLevelType w:val="hybridMultilevel"/>
    <w:tmpl w:val="B8B8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36589"/>
    <w:multiLevelType w:val="hybridMultilevel"/>
    <w:tmpl w:val="2C82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3184B"/>
    <w:multiLevelType w:val="hybridMultilevel"/>
    <w:tmpl w:val="DCECF962"/>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B021C"/>
    <w:multiLevelType w:val="hybridMultilevel"/>
    <w:tmpl w:val="A3D4A638"/>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36941"/>
    <w:multiLevelType w:val="hybridMultilevel"/>
    <w:tmpl w:val="05A01FC2"/>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97AC6"/>
    <w:multiLevelType w:val="hybridMultilevel"/>
    <w:tmpl w:val="B5DC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63AAF"/>
    <w:multiLevelType w:val="hybridMultilevel"/>
    <w:tmpl w:val="24540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E2731D"/>
    <w:multiLevelType w:val="hybridMultilevel"/>
    <w:tmpl w:val="6B3E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7896179">
    <w:abstractNumId w:val="8"/>
  </w:num>
  <w:num w:numId="2" w16cid:durableId="1834758800">
    <w:abstractNumId w:val="5"/>
  </w:num>
  <w:num w:numId="3" w16cid:durableId="1010642614">
    <w:abstractNumId w:val="4"/>
  </w:num>
  <w:num w:numId="4" w16cid:durableId="257176203">
    <w:abstractNumId w:val="3"/>
  </w:num>
  <w:num w:numId="5" w16cid:durableId="363408269">
    <w:abstractNumId w:val="7"/>
  </w:num>
  <w:num w:numId="6" w16cid:durableId="1335720367">
    <w:abstractNumId w:val="0"/>
  </w:num>
  <w:num w:numId="7" w16cid:durableId="451439467">
    <w:abstractNumId w:val="1"/>
  </w:num>
  <w:num w:numId="8" w16cid:durableId="708920846">
    <w:abstractNumId w:val="6"/>
  </w:num>
  <w:num w:numId="9" w16cid:durableId="214317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16"/>
    <w:rsid w:val="000127C4"/>
    <w:rsid w:val="00012B15"/>
    <w:rsid w:val="00030616"/>
    <w:rsid w:val="00046ED7"/>
    <w:rsid w:val="00065E0A"/>
    <w:rsid w:val="00071AAF"/>
    <w:rsid w:val="000752EE"/>
    <w:rsid w:val="00081E7B"/>
    <w:rsid w:val="000A5A02"/>
    <w:rsid w:val="000B04BF"/>
    <w:rsid w:val="000C1D3E"/>
    <w:rsid w:val="000E3D2B"/>
    <w:rsid w:val="001126A0"/>
    <w:rsid w:val="001131F0"/>
    <w:rsid w:val="001223B6"/>
    <w:rsid w:val="001330F5"/>
    <w:rsid w:val="001507C5"/>
    <w:rsid w:val="00165942"/>
    <w:rsid w:val="001B5193"/>
    <w:rsid w:val="001B79E6"/>
    <w:rsid w:val="001C1706"/>
    <w:rsid w:val="001C3A7F"/>
    <w:rsid w:val="001E636E"/>
    <w:rsid w:val="001F06EF"/>
    <w:rsid w:val="001F3B41"/>
    <w:rsid w:val="001F67ED"/>
    <w:rsid w:val="00220309"/>
    <w:rsid w:val="002266E2"/>
    <w:rsid w:val="00272DBE"/>
    <w:rsid w:val="002977F1"/>
    <w:rsid w:val="002C25F6"/>
    <w:rsid w:val="002C53D8"/>
    <w:rsid w:val="002E7148"/>
    <w:rsid w:val="00302A4A"/>
    <w:rsid w:val="00331FBD"/>
    <w:rsid w:val="00340D28"/>
    <w:rsid w:val="00362F04"/>
    <w:rsid w:val="00373120"/>
    <w:rsid w:val="00383A79"/>
    <w:rsid w:val="003C163C"/>
    <w:rsid w:val="003C5F0C"/>
    <w:rsid w:val="003D0DBD"/>
    <w:rsid w:val="003D681D"/>
    <w:rsid w:val="003F27C6"/>
    <w:rsid w:val="00423544"/>
    <w:rsid w:val="00436019"/>
    <w:rsid w:val="00460CD5"/>
    <w:rsid w:val="004A3008"/>
    <w:rsid w:val="004D3B42"/>
    <w:rsid w:val="004E6E79"/>
    <w:rsid w:val="004F2EA8"/>
    <w:rsid w:val="004F49AD"/>
    <w:rsid w:val="00506AD2"/>
    <w:rsid w:val="005244FF"/>
    <w:rsid w:val="00537E9A"/>
    <w:rsid w:val="0054199E"/>
    <w:rsid w:val="005437DC"/>
    <w:rsid w:val="00580157"/>
    <w:rsid w:val="00584C80"/>
    <w:rsid w:val="005A3132"/>
    <w:rsid w:val="005B4BD5"/>
    <w:rsid w:val="005B4FC5"/>
    <w:rsid w:val="005B7A82"/>
    <w:rsid w:val="005C6F43"/>
    <w:rsid w:val="005D6326"/>
    <w:rsid w:val="00602CEB"/>
    <w:rsid w:val="00667871"/>
    <w:rsid w:val="0068076B"/>
    <w:rsid w:val="00687F6B"/>
    <w:rsid w:val="00691BA1"/>
    <w:rsid w:val="006A2B0E"/>
    <w:rsid w:val="006B55E4"/>
    <w:rsid w:val="006B588D"/>
    <w:rsid w:val="006B6AE0"/>
    <w:rsid w:val="006C395D"/>
    <w:rsid w:val="006D5FB3"/>
    <w:rsid w:val="006D6E90"/>
    <w:rsid w:val="006F6F92"/>
    <w:rsid w:val="00711120"/>
    <w:rsid w:val="00721C7E"/>
    <w:rsid w:val="007410C4"/>
    <w:rsid w:val="0076249B"/>
    <w:rsid w:val="0076675B"/>
    <w:rsid w:val="00772E28"/>
    <w:rsid w:val="00776764"/>
    <w:rsid w:val="007859EF"/>
    <w:rsid w:val="007B2354"/>
    <w:rsid w:val="007B5D9D"/>
    <w:rsid w:val="007B619D"/>
    <w:rsid w:val="007B7667"/>
    <w:rsid w:val="00830AAF"/>
    <w:rsid w:val="00831E6B"/>
    <w:rsid w:val="008353FA"/>
    <w:rsid w:val="0083747D"/>
    <w:rsid w:val="00837970"/>
    <w:rsid w:val="00840387"/>
    <w:rsid w:val="00841B56"/>
    <w:rsid w:val="00843BEE"/>
    <w:rsid w:val="0086303E"/>
    <w:rsid w:val="00873B66"/>
    <w:rsid w:val="0087584F"/>
    <w:rsid w:val="008A40DC"/>
    <w:rsid w:val="008A60E3"/>
    <w:rsid w:val="008B798B"/>
    <w:rsid w:val="008C1DBD"/>
    <w:rsid w:val="008D0296"/>
    <w:rsid w:val="008D3ADB"/>
    <w:rsid w:val="008E3261"/>
    <w:rsid w:val="008F7810"/>
    <w:rsid w:val="00911E98"/>
    <w:rsid w:val="009320A3"/>
    <w:rsid w:val="00936DD7"/>
    <w:rsid w:val="00940992"/>
    <w:rsid w:val="009526B5"/>
    <w:rsid w:val="00956F93"/>
    <w:rsid w:val="009617F1"/>
    <w:rsid w:val="00964A99"/>
    <w:rsid w:val="00997840"/>
    <w:rsid w:val="009B787B"/>
    <w:rsid w:val="009C0E0F"/>
    <w:rsid w:val="009C1AFE"/>
    <w:rsid w:val="009D2077"/>
    <w:rsid w:val="00A1068C"/>
    <w:rsid w:val="00A165BD"/>
    <w:rsid w:val="00A238E5"/>
    <w:rsid w:val="00A4241B"/>
    <w:rsid w:val="00A43146"/>
    <w:rsid w:val="00A80B14"/>
    <w:rsid w:val="00A856F4"/>
    <w:rsid w:val="00A8776C"/>
    <w:rsid w:val="00AA71B4"/>
    <w:rsid w:val="00AD08BC"/>
    <w:rsid w:val="00AF3307"/>
    <w:rsid w:val="00B1406A"/>
    <w:rsid w:val="00B3090A"/>
    <w:rsid w:val="00B64FFA"/>
    <w:rsid w:val="00B81F91"/>
    <w:rsid w:val="00B83775"/>
    <w:rsid w:val="00B950CB"/>
    <w:rsid w:val="00BB3357"/>
    <w:rsid w:val="00BC4E40"/>
    <w:rsid w:val="00BE53F6"/>
    <w:rsid w:val="00C054EF"/>
    <w:rsid w:val="00C11CE6"/>
    <w:rsid w:val="00C301B0"/>
    <w:rsid w:val="00C4024F"/>
    <w:rsid w:val="00C42635"/>
    <w:rsid w:val="00C65826"/>
    <w:rsid w:val="00C700CC"/>
    <w:rsid w:val="00C777B4"/>
    <w:rsid w:val="00C84604"/>
    <w:rsid w:val="00C96BF6"/>
    <w:rsid w:val="00CA502A"/>
    <w:rsid w:val="00CB13BD"/>
    <w:rsid w:val="00CB5D03"/>
    <w:rsid w:val="00CC22BF"/>
    <w:rsid w:val="00CD7842"/>
    <w:rsid w:val="00CE2E81"/>
    <w:rsid w:val="00D126E7"/>
    <w:rsid w:val="00D12D2E"/>
    <w:rsid w:val="00D14C41"/>
    <w:rsid w:val="00D42F83"/>
    <w:rsid w:val="00D62B17"/>
    <w:rsid w:val="00D91225"/>
    <w:rsid w:val="00DE3655"/>
    <w:rsid w:val="00E02CDB"/>
    <w:rsid w:val="00E15EE7"/>
    <w:rsid w:val="00E2575B"/>
    <w:rsid w:val="00E37B3E"/>
    <w:rsid w:val="00E47337"/>
    <w:rsid w:val="00E7642D"/>
    <w:rsid w:val="00E96938"/>
    <w:rsid w:val="00EA2A99"/>
    <w:rsid w:val="00EE0DCF"/>
    <w:rsid w:val="00F01F5A"/>
    <w:rsid w:val="00F119D8"/>
    <w:rsid w:val="00F16031"/>
    <w:rsid w:val="00F51B53"/>
    <w:rsid w:val="00F72BC3"/>
    <w:rsid w:val="00FA3613"/>
    <w:rsid w:val="00FA38C3"/>
    <w:rsid w:val="00FE55B6"/>
    <w:rsid w:val="00FE72E1"/>
    <w:rsid w:val="00FF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A3E2659"/>
  <w15:chartTrackingRefBased/>
  <w15:docId w15:val="{B4614C92-CC60-4951-9BED-51AB3E55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36E"/>
    <w:rPr>
      <w:sz w:val="24"/>
      <w:szCs w:val="24"/>
      <w:lang w:eastAsia="en-US"/>
    </w:rPr>
  </w:style>
  <w:style w:type="paragraph" w:styleId="Heading9">
    <w:name w:val="heading 9"/>
    <w:basedOn w:val="Normal"/>
    <w:next w:val="Normal"/>
    <w:qFormat/>
    <w:rsid w:val="008F7810"/>
    <w:pPr>
      <w:keepNext/>
      <w:outlineLvl w:val="8"/>
    </w:pPr>
    <w:rPr>
      <w:rFonts w:ascii="Arial" w:hAnsi="Arial"/>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8F7810"/>
    <w:pPr>
      <w:tabs>
        <w:tab w:val="center" w:pos="4320"/>
        <w:tab w:val="right" w:pos="8640"/>
      </w:tabs>
    </w:pPr>
  </w:style>
  <w:style w:type="paragraph" w:styleId="Footer">
    <w:name w:val="footer"/>
    <w:basedOn w:val="Normal"/>
    <w:rsid w:val="008F7810"/>
    <w:pPr>
      <w:tabs>
        <w:tab w:val="center" w:pos="4320"/>
        <w:tab w:val="right" w:pos="8640"/>
      </w:tabs>
    </w:pPr>
  </w:style>
  <w:style w:type="paragraph" w:styleId="BodyText3">
    <w:name w:val="Body Text 3"/>
    <w:basedOn w:val="Normal"/>
    <w:rsid w:val="008F7810"/>
    <w:rPr>
      <w:rFonts w:ascii="Arial" w:hAnsi="Arial"/>
      <w:color w:val="000080"/>
      <w:sz w:val="20"/>
      <w:szCs w:val="20"/>
    </w:rPr>
  </w:style>
  <w:style w:type="paragraph" w:styleId="BalloonText">
    <w:name w:val="Balloon Text"/>
    <w:basedOn w:val="Normal"/>
    <w:link w:val="BalloonTextChar"/>
    <w:semiHidden/>
    <w:unhideWhenUsed/>
    <w:rsid w:val="009C0E0F"/>
    <w:rPr>
      <w:rFonts w:ascii="Segoe UI" w:hAnsi="Segoe UI" w:cs="Segoe UI"/>
      <w:sz w:val="18"/>
      <w:szCs w:val="18"/>
    </w:rPr>
  </w:style>
  <w:style w:type="character" w:customStyle="1" w:styleId="BalloonTextChar">
    <w:name w:val="Balloon Text Char"/>
    <w:basedOn w:val="DefaultParagraphFont"/>
    <w:link w:val="BalloonText"/>
    <w:semiHidden/>
    <w:rsid w:val="009C0E0F"/>
    <w:rPr>
      <w:rFonts w:ascii="Segoe UI" w:hAnsi="Segoe UI" w:cs="Segoe UI"/>
      <w:sz w:val="18"/>
      <w:szCs w:val="18"/>
      <w:lang w:eastAsia="en-US"/>
    </w:rPr>
  </w:style>
  <w:style w:type="paragraph" w:styleId="ListParagraph">
    <w:name w:val="List Paragraph"/>
    <w:basedOn w:val="Normal"/>
    <w:uiPriority w:val="34"/>
    <w:qFormat/>
    <w:rsid w:val="00FF3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550</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ENVIRONMENTAL POLICY</vt:lpstr>
    </vt:vector>
  </TitlesOfParts>
  <Company>T Denman</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
  <dc:creator>Judy Laycock</dc:creator>
  <cp:keywords/>
  <dc:description/>
  <cp:lastModifiedBy>David Gent</cp:lastModifiedBy>
  <cp:revision>12</cp:revision>
  <cp:lastPrinted>2009-07-24T15:41:00Z</cp:lastPrinted>
  <dcterms:created xsi:type="dcterms:W3CDTF">2020-03-03T06:49:00Z</dcterms:created>
  <dcterms:modified xsi:type="dcterms:W3CDTF">2024-04-02T09:36:00Z</dcterms:modified>
</cp:coreProperties>
</file>